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04E89">
      <w:pPr>
        <w:spacing w:line="560" w:lineRule="exact"/>
        <w:ind w:right="128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56EC7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ascii="方正小标宋简体" w:hAnsi="黑体" w:eastAsia="方正小标宋简体"/>
          <w:sz w:val="36"/>
          <w:szCs w:val="32"/>
        </w:rPr>
      </w:pPr>
      <w:r>
        <w:rPr>
          <w:rFonts w:hint="eastAsia" w:ascii="方正小标宋简体" w:hAnsi="黑体" w:eastAsia="方正小标宋简体" w:cs="Times New Roman"/>
          <w:sz w:val="36"/>
          <w:szCs w:val="32"/>
          <w:lang w:val="en-US" w:eastAsia="zh-CN"/>
        </w:rPr>
        <w:t>研究生乡村振兴志愿服务技能大赛</w:t>
      </w:r>
      <w:r>
        <w:rPr>
          <w:rFonts w:hint="eastAsia" w:ascii="方正小标宋简体" w:hAnsi="黑体" w:eastAsia="方正小标宋简体"/>
          <w:sz w:val="36"/>
          <w:szCs w:val="32"/>
        </w:rPr>
        <w:t>评分细则</w:t>
      </w:r>
    </w:p>
    <w:p w14:paraId="157C3675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黑体" w:hAnsi="黑体" w:eastAsia="黑体"/>
          <w:sz w:val="28"/>
          <w:lang w:val="en-US" w:eastAsia="zh-CN"/>
        </w:rPr>
      </w:pPr>
      <w:r>
        <w:rPr>
          <w:rFonts w:hint="eastAsia" w:ascii="黑体" w:hAnsi="黑体" w:eastAsia="黑体" w:cs="Times New Roman"/>
          <w:sz w:val="28"/>
          <w:lang w:val="en-US" w:eastAsia="zh-CN"/>
        </w:rPr>
        <w:t>志愿服务工作展示</w:t>
      </w:r>
      <w:r>
        <w:rPr>
          <w:rFonts w:hint="eastAsia" w:ascii="黑体" w:hAnsi="黑体" w:eastAsia="黑体"/>
          <w:sz w:val="28"/>
        </w:rPr>
        <w:t>评分细则</w:t>
      </w:r>
      <w:r>
        <w:rPr>
          <w:rFonts w:hint="eastAsia" w:ascii="黑体" w:hAnsi="黑体" w:eastAsia="黑体"/>
          <w:sz w:val="28"/>
          <w:lang w:eastAsia="zh-CN"/>
        </w:rPr>
        <w:t>（</w:t>
      </w:r>
      <w:r>
        <w:rPr>
          <w:rFonts w:hint="eastAsia" w:ascii="黑体" w:hAnsi="黑体" w:eastAsia="黑体"/>
          <w:sz w:val="28"/>
          <w:lang w:val="en-US" w:eastAsia="zh-CN"/>
        </w:rPr>
        <w:t>总分80分</w:t>
      </w:r>
      <w:r>
        <w:rPr>
          <w:rFonts w:hint="eastAsia" w:ascii="黑体" w:hAnsi="黑体" w:eastAsia="黑体"/>
          <w:sz w:val="28"/>
          <w:lang w:eastAsia="zh-CN"/>
        </w:rPr>
        <w:t>）</w:t>
      </w:r>
    </w:p>
    <w:tbl>
      <w:tblPr>
        <w:tblStyle w:val="5"/>
        <w:tblW w:w="8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7001"/>
      </w:tblGrid>
      <w:tr w14:paraId="46BA0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478" w:type="dxa"/>
          </w:tcPr>
          <w:p w14:paraId="07F229D0">
            <w:pPr>
              <w:spacing w:line="5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评价项目</w:t>
            </w:r>
          </w:p>
        </w:tc>
        <w:tc>
          <w:tcPr>
            <w:tcW w:w="7001" w:type="dxa"/>
          </w:tcPr>
          <w:p w14:paraId="531FE0AF">
            <w:pPr>
              <w:spacing w:line="5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评价要点</w:t>
            </w:r>
          </w:p>
        </w:tc>
      </w:tr>
      <w:tr w14:paraId="441D6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1478" w:type="dxa"/>
            <w:vMerge w:val="restart"/>
            <w:vAlign w:val="center"/>
          </w:tcPr>
          <w:p w14:paraId="50055E42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0"/>
              </w:rPr>
              <w:t>活动展示      （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0"/>
                <w:lang w:val="en-US" w:eastAsia="zh-CN"/>
              </w:rPr>
              <w:t>60%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0"/>
              </w:rPr>
              <w:t>）</w:t>
            </w:r>
          </w:p>
        </w:tc>
        <w:tc>
          <w:tcPr>
            <w:tcW w:w="7001" w:type="dxa"/>
            <w:vAlign w:val="center"/>
          </w:tcPr>
          <w:p w14:paraId="0AB081D6">
            <w:pPr>
              <w:snapToGrid w:val="0"/>
              <w:spacing w:line="440" w:lineRule="exact"/>
              <w:rPr>
                <w:rFonts w:hint="default" w:ascii="Times New Roman" w:hAnsi="Times New Roman" w:cs="Times New Roman"/>
                <w:sz w:val="28"/>
                <w:szCs w:val="20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1.聚焦“三农”问题和国家乡村振兴战略，主题突出，内容完整，能够以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志愿服务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的形式解决实际问题。</w:t>
            </w:r>
          </w:p>
        </w:tc>
      </w:tr>
      <w:tr w14:paraId="27580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  <w:jc w:val="center"/>
        </w:trPr>
        <w:tc>
          <w:tcPr>
            <w:tcW w:w="1478" w:type="dxa"/>
            <w:vMerge w:val="continue"/>
            <w:vAlign w:val="center"/>
          </w:tcPr>
          <w:p w14:paraId="3825A49D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7001" w:type="dxa"/>
            <w:vAlign w:val="center"/>
          </w:tcPr>
          <w:p w14:paraId="24C83CEC">
            <w:pPr>
              <w:snapToGrid w:val="0"/>
              <w:spacing w:line="440" w:lineRule="exact"/>
              <w:rPr>
                <w:rFonts w:hint="default"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0"/>
              </w:rPr>
              <w:t>2.活动方案科学合理，活动主题清晰明了，活动形式新颖多样，活动内容具体丰富，活动意义深远有成效，活动总结及时准确，被新闻媒体广泛宣传，产生较强的社会影响力。</w:t>
            </w:r>
          </w:p>
        </w:tc>
      </w:tr>
      <w:tr w14:paraId="7232F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1478" w:type="dxa"/>
            <w:vMerge w:val="continue"/>
            <w:vAlign w:val="center"/>
          </w:tcPr>
          <w:p w14:paraId="538D082B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7001" w:type="dxa"/>
            <w:vAlign w:val="center"/>
          </w:tcPr>
          <w:p w14:paraId="5BEFBE8B">
            <w:pPr>
              <w:snapToGrid w:val="0"/>
              <w:spacing w:line="440" w:lineRule="exact"/>
              <w:rPr>
                <w:rFonts w:hint="default"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0"/>
              </w:rPr>
              <w:t>3.活动时间长、开展频次多，服务对象变化大、满意度高，具有助推乡村振兴战略的实际成果。</w:t>
            </w:r>
          </w:p>
        </w:tc>
      </w:tr>
      <w:tr w14:paraId="1072E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1478" w:type="dxa"/>
            <w:vMerge w:val="continue"/>
            <w:vAlign w:val="center"/>
          </w:tcPr>
          <w:p w14:paraId="31C0A754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7001" w:type="dxa"/>
            <w:vAlign w:val="center"/>
          </w:tcPr>
          <w:p w14:paraId="40CA3C7A">
            <w:pPr>
              <w:snapToGrid w:val="0"/>
              <w:spacing w:line="440" w:lineRule="exact"/>
              <w:rPr>
                <w:rFonts w:hint="default"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0"/>
              </w:rPr>
              <w:t>4.团队成员积极参与，学习能力、执行能力、和谐能力和实践能力等方面得到有效提升。</w:t>
            </w:r>
          </w:p>
        </w:tc>
      </w:tr>
      <w:tr w14:paraId="2214A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478" w:type="dxa"/>
            <w:vMerge w:val="restart"/>
            <w:vAlign w:val="center"/>
          </w:tcPr>
          <w:p w14:paraId="226523F8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团队素质</w:t>
            </w:r>
          </w:p>
          <w:p w14:paraId="069E4662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（</w:t>
            </w:r>
            <w:r>
              <w:rPr>
                <w:rFonts w:hint="default" w:ascii="Times New Roman" w:hAnsi="Times New Roman" w:cs="Times New Roman"/>
                <w:sz w:val="28"/>
                <w:lang w:val="en-US" w:eastAsia="zh-CN"/>
              </w:rPr>
              <w:t>20%</w:t>
            </w:r>
            <w:r>
              <w:rPr>
                <w:rFonts w:hint="default" w:ascii="Times New Roman" w:hAnsi="Times New Roman" w:cs="Times New Roman"/>
                <w:sz w:val="28"/>
              </w:rPr>
              <w:t>）</w:t>
            </w:r>
          </w:p>
        </w:tc>
        <w:tc>
          <w:tcPr>
            <w:tcW w:w="7001" w:type="dxa"/>
          </w:tcPr>
          <w:p w14:paraId="1049416A">
            <w:pPr>
              <w:spacing w:line="440" w:lineRule="exact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1.团队成员仪表端庄、举止大方、声音洪亮、吐字清晰、表达准确、汇报流畅。</w:t>
            </w:r>
          </w:p>
        </w:tc>
      </w:tr>
      <w:tr w14:paraId="410AF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1478" w:type="dxa"/>
            <w:vMerge w:val="continue"/>
            <w:vAlign w:val="center"/>
          </w:tcPr>
          <w:p w14:paraId="6201FCF6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7001" w:type="dxa"/>
          </w:tcPr>
          <w:p w14:paraId="0BE6765E">
            <w:pPr>
              <w:spacing w:line="440" w:lineRule="exact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2.团队成员具有较强的协作精神，能够运用手势、动作、表情及其他辅助工具，较好地展示开展的志愿服务工作。</w:t>
            </w:r>
          </w:p>
        </w:tc>
      </w:tr>
      <w:tr w14:paraId="58FB7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478" w:type="dxa"/>
            <w:vMerge w:val="restart"/>
            <w:vAlign w:val="center"/>
          </w:tcPr>
          <w:p w14:paraId="253F68D3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综合效果</w:t>
            </w:r>
          </w:p>
          <w:p w14:paraId="3FFF10C5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（</w:t>
            </w:r>
            <w:r>
              <w:rPr>
                <w:rFonts w:hint="default" w:ascii="Times New Roman" w:hAnsi="Times New Roman" w:cs="Times New Roman"/>
                <w:sz w:val="28"/>
                <w:lang w:val="en-US" w:eastAsia="zh-CN"/>
              </w:rPr>
              <w:t>20%</w:t>
            </w:r>
            <w:r>
              <w:rPr>
                <w:rFonts w:hint="default" w:ascii="Times New Roman" w:hAnsi="Times New Roman" w:cs="Times New Roman"/>
                <w:sz w:val="28"/>
              </w:rPr>
              <w:t>）</w:t>
            </w:r>
          </w:p>
        </w:tc>
        <w:tc>
          <w:tcPr>
            <w:tcW w:w="7001" w:type="dxa"/>
          </w:tcPr>
          <w:p w14:paraId="4D688725">
            <w:pPr>
              <w:spacing w:line="440" w:lineRule="exact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1.作品结构合理，逻辑清晰，界面美观，具有较强的表现力和感染力。</w:t>
            </w:r>
          </w:p>
        </w:tc>
      </w:tr>
      <w:tr w14:paraId="54037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478" w:type="dxa"/>
            <w:vMerge w:val="continue"/>
            <w:vAlign w:val="center"/>
          </w:tcPr>
          <w:p w14:paraId="3754CDE2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7001" w:type="dxa"/>
          </w:tcPr>
          <w:p w14:paraId="2C6B6C73">
            <w:pPr>
              <w:spacing w:line="440" w:lineRule="exact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hint="default" w:ascii="Times New Roman" w:hAnsi="Times New Roman" w:cs="Times New Roman"/>
                <w:sz w:val="28"/>
              </w:rPr>
              <w:t>作品系原创，具有比较鲜明的特色。</w:t>
            </w:r>
          </w:p>
        </w:tc>
      </w:tr>
    </w:tbl>
    <w:p w14:paraId="6B8FFC87">
      <w:pPr>
        <w:spacing w:line="500" w:lineRule="exact"/>
        <w:ind w:firstLine="560" w:firstLineChars="200"/>
        <w:rPr>
          <w:rFonts w:hint="eastAsia" w:ascii="黑体" w:hAnsi="黑体" w:eastAsia="黑体"/>
          <w:sz w:val="28"/>
          <w:lang w:val="en-US" w:eastAsia="zh-CN"/>
        </w:rPr>
      </w:pPr>
      <w:r>
        <w:rPr>
          <w:rFonts w:hint="eastAsia"/>
          <w:sz w:val="28"/>
        </w:rPr>
        <w:t>评委不少于</w:t>
      </w:r>
      <w:r>
        <w:rPr>
          <w:rFonts w:hint="eastAsia"/>
          <w:sz w:val="28"/>
          <w:lang w:val="en-US" w:eastAsia="zh-CN"/>
        </w:rPr>
        <w:t>3</w:t>
      </w:r>
      <w:r>
        <w:rPr>
          <w:rFonts w:hint="eastAsia"/>
          <w:sz w:val="28"/>
        </w:rPr>
        <w:t>人。评委打分汇总后取平均分，精确到小数点后两位。若出现相同分数，精确到小数点后三位，以此类推。</w:t>
      </w:r>
    </w:p>
    <w:p w14:paraId="4025B1FF">
      <w:pPr>
        <w:spacing w:line="240" w:lineRule="atLeast"/>
        <w:rPr>
          <w:rFonts w:hint="eastAsia" w:ascii="黑体" w:hAnsi="黑体" w:eastAsia="黑体"/>
          <w:sz w:val="28"/>
          <w:lang w:val="en-US" w:eastAsia="zh-CN"/>
        </w:rPr>
      </w:pPr>
      <w:r>
        <w:rPr>
          <w:rFonts w:hint="eastAsia" w:ascii="黑体" w:hAnsi="黑体" w:eastAsia="黑体"/>
          <w:sz w:val="28"/>
          <w:lang w:val="en-US" w:eastAsia="zh-CN"/>
        </w:rPr>
        <w:t>2.案例分析</w:t>
      </w:r>
      <w:r>
        <w:rPr>
          <w:rFonts w:hint="eastAsia" w:ascii="黑体" w:hAnsi="黑体" w:eastAsia="黑体"/>
          <w:sz w:val="28"/>
        </w:rPr>
        <w:t>评分细则</w:t>
      </w:r>
      <w:r>
        <w:rPr>
          <w:rFonts w:hint="eastAsia" w:ascii="黑体" w:hAnsi="黑体" w:eastAsia="黑体"/>
          <w:sz w:val="28"/>
          <w:lang w:eastAsia="zh-CN"/>
        </w:rPr>
        <w:t>（</w:t>
      </w:r>
      <w:r>
        <w:rPr>
          <w:rFonts w:hint="eastAsia" w:ascii="黑体" w:hAnsi="黑体" w:eastAsia="黑体"/>
          <w:sz w:val="28"/>
          <w:lang w:val="en-US" w:eastAsia="zh-CN"/>
        </w:rPr>
        <w:t>总分20分</w:t>
      </w:r>
      <w:r>
        <w:rPr>
          <w:rFonts w:hint="eastAsia" w:ascii="黑体" w:hAnsi="黑体" w:eastAsia="黑体"/>
          <w:sz w:val="28"/>
          <w:lang w:eastAsia="zh-CN"/>
        </w:rPr>
        <w:t>）</w:t>
      </w:r>
    </w:p>
    <w:tbl>
      <w:tblPr>
        <w:tblStyle w:val="5"/>
        <w:tblW w:w="84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9"/>
        <w:gridCol w:w="6860"/>
      </w:tblGrid>
      <w:tr w14:paraId="1F49F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579" w:type="dxa"/>
          </w:tcPr>
          <w:p w14:paraId="7557EA66">
            <w:pPr>
              <w:spacing w:line="5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评价项目</w:t>
            </w:r>
          </w:p>
        </w:tc>
        <w:tc>
          <w:tcPr>
            <w:tcW w:w="6860" w:type="dxa"/>
          </w:tcPr>
          <w:p w14:paraId="735EA518">
            <w:pPr>
              <w:spacing w:line="5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评价要点</w:t>
            </w:r>
          </w:p>
        </w:tc>
      </w:tr>
      <w:tr w14:paraId="625B5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579" w:type="dxa"/>
            <w:vMerge w:val="restart"/>
            <w:vAlign w:val="center"/>
          </w:tcPr>
          <w:p w14:paraId="78F8E9F7">
            <w:pPr>
              <w:spacing w:line="5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分析问题</w:t>
            </w:r>
          </w:p>
          <w:p w14:paraId="79B6E2B4">
            <w:pPr>
              <w:spacing w:line="5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解决问题</w:t>
            </w:r>
          </w:p>
          <w:p w14:paraId="013EB3B2">
            <w:pPr>
              <w:spacing w:line="500" w:lineRule="exact"/>
              <w:jc w:val="center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（</w:t>
            </w:r>
            <w:r>
              <w:rPr>
                <w:rFonts w:hint="eastAsia"/>
                <w:sz w:val="28"/>
                <w:lang w:val="en-US" w:eastAsia="zh-CN"/>
              </w:rPr>
              <w:t>60%</w:t>
            </w:r>
            <w:r>
              <w:rPr>
                <w:rFonts w:hint="eastAsia"/>
                <w:sz w:val="28"/>
                <w:lang w:eastAsia="zh-CN"/>
              </w:rPr>
              <w:t>）</w:t>
            </w:r>
          </w:p>
        </w:tc>
        <w:tc>
          <w:tcPr>
            <w:tcW w:w="6860" w:type="dxa"/>
          </w:tcPr>
          <w:p w14:paraId="033D777C">
            <w:pPr>
              <w:spacing w:line="5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1.判断准确，能抓住问题的关键。理论与实际相结合，分析到位，观点明确。</w:t>
            </w:r>
          </w:p>
        </w:tc>
      </w:tr>
      <w:tr w14:paraId="66BB8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579" w:type="dxa"/>
            <w:vMerge w:val="continue"/>
            <w:vAlign w:val="center"/>
          </w:tcPr>
          <w:p w14:paraId="6DBBE44B">
            <w:pPr>
              <w:spacing w:line="500" w:lineRule="exact"/>
              <w:jc w:val="center"/>
              <w:rPr>
                <w:sz w:val="28"/>
              </w:rPr>
            </w:pPr>
          </w:p>
        </w:tc>
        <w:tc>
          <w:tcPr>
            <w:tcW w:w="6860" w:type="dxa"/>
          </w:tcPr>
          <w:p w14:paraId="2F2784E4">
            <w:pPr>
              <w:spacing w:line="500" w:lineRule="exact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2</w:t>
            </w:r>
            <w:r>
              <w:rPr>
                <w:rFonts w:hint="eastAsia"/>
                <w:sz w:val="28"/>
              </w:rPr>
              <w:t>.熟悉志愿服务活动实施程序，对活动中的突发事件和特殊事件的处理能够把握好分寸。</w:t>
            </w:r>
          </w:p>
        </w:tc>
      </w:tr>
      <w:tr w14:paraId="13F3C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579" w:type="dxa"/>
            <w:vMerge w:val="continue"/>
            <w:vAlign w:val="center"/>
          </w:tcPr>
          <w:p w14:paraId="609E5D01">
            <w:pPr>
              <w:spacing w:line="500" w:lineRule="exact"/>
              <w:jc w:val="center"/>
              <w:rPr>
                <w:sz w:val="28"/>
              </w:rPr>
            </w:pPr>
          </w:p>
        </w:tc>
        <w:tc>
          <w:tcPr>
            <w:tcW w:w="6860" w:type="dxa"/>
          </w:tcPr>
          <w:p w14:paraId="2AF3B17F">
            <w:pPr>
              <w:spacing w:line="500" w:lineRule="exact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3</w:t>
            </w:r>
            <w:r>
              <w:rPr>
                <w:rFonts w:hint="eastAsia"/>
                <w:sz w:val="28"/>
              </w:rPr>
              <w:t>.问题处理办法正确、得当，观点新颖有创意，富有科学性和艺术性。</w:t>
            </w:r>
          </w:p>
        </w:tc>
      </w:tr>
      <w:tr w14:paraId="7086E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3" w:hRule="atLeast"/>
        </w:trPr>
        <w:tc>
          <w:tcPr>
            <w:tcW w:w="1579" w:type="dxa"/>
            <w:vMerge w:val="continue"/>
            <w:vAlign w:val="center"/>
          </w:tcPr>
          <w:p w14:paraId="7ACE5888">
            <w:pPr>
              <w:spacing w:line="500" w:lineRule="exact"/>
              <w:jc w:val="center"/>
              <w:rPr>
                <w:sz w:val="28"/>
              </w:rPr>
            </w:pPr>
          </w:p>
        </w:tc>
        <w:tc>
          <w:tcPr>
            <w:tcW w:w="6860" w:type="dxa"/>
          </w:tcPr>
          <w:p w14:paraId="5A3572D1">
            <w:pPr>
              <w:spacing w:line="50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4</w:t>
            </w:r>
            <w:r>
              <w:rPr>
                <w:rFonts w:hint="eastAsia"/>
                <w:sz w:val="28"/>
              </w:rPr>
              <w:t>.对其他志愿服务团队处理类似问题具有一定的示范性和指导性，能够通过案例分析提炼出类似工作的经验或其实，举一反三。</w:t>
            </w:r>
          </w:p>
        </w:tc>
      </w:tr>
      <w:tr w14:paraId="16A3B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579" w:type="dxa"/>
            <w:vMerge w:val="restart"/>
            <w:vAlign w:val="center"/>
          </w:tcPr>
          <w:p w14:paraId="38B7678B">
            <w:pPr>
              <w:spacing w:line="5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综合素质（</w:t>
            </w:r>
            <w:r>
              <w:rPr>
                <w:rFonts w:hint="eastAsia"/>
                <w:sz w:val="28"/>
                <w:lang w:val="en-US" w:eastAsia="zh-CN"/>
              </w:rPr>
              <w:t>40%</w:t>
            </w:r>
            <w:r>
              <w:rPr>
                <w:rFonts w:hint="eastAsia"/>
                <w:sz w:val="28"/>
              </w:rPr>
              <w:t>）</w:t>
            </w:r>
          </w:p>
        </w:tc>
        <w:tc>
          <w:tcPr>
            <w:tcW w:w="6860" w:type="dxa"/>
          </w:tcPr>
          <w:p w14:paraId="235E2529">
            <w:pPr>
              <w:spacing w:line="5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1.回答问题紧扣主题，具有一定的自主思考和自主分析能力。</w:t>
            </w:r>
          </w:p>
        </w:tc>
      </w:tr>
      <w:tr w14:paraId="4CF44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579" w:type="dxa"/>
            <w:vMerge w:val="continue"/>
          </w:tcPr>
          <w:p w14:paraId="4A7D2E65">
            <w:pPr>
              <w:spacing w:line="500" w:lineRule="exact"/>
              <w:rPr>
                <w:sz w:val="28"/>
              </w:rPr>
            </w:pPr>
          </w:p>
        </w:tc>
        <w:tc>
          <w:tcPr>
            <w:tcW w:w="6860" w:type="dxa"/>
          </w:tcPr>
          <w:p w14:paraId="0ED015A3">
            <w:pPr>
              <w:spacing w:line="5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2.分析方法科学合理，回答问题结构完整，逻辑清晰，语言表达流畅连贯。</w:t>
            </w:r>
          </w:p>
        </w:tc>
      </w:tr>
      <w:tr w14:paraId="4C561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579" w:type="dxa"/>
            <w:vMerge w:val="continue"/>
          </w:tcPr>
          <w:p w14:paraId="75FF9F19">
            <w:pPr>
              <w:spacing w:line="500" w:lineRule="exact"/>
              <w:rPr>
                <w:sz w:val="28"/>
              </w:rPr>
            </w:pPr>
          </w:p>
        </w:tc>
        <w:tc>
          <w:tcPr>
            <w:tcW w:w="6860" w:type="dxa"/>
          </w:tcPr>
          <w:p w14:paraId="02CA0B61">
            <w:pPr>
              <w:spacing w:line="5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3.团队成员分工明确，台风较好，配合默契，协作良好。</w:t>
            </w:r>
          </w:p>
        </w:tc>
      </w:tr>
      <w:tr w14:paraId="282FD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579" w:type="dxa"/>
            <w:vMerge w:val="continue"/>
          </w:tcPr>
          <w:p w14:paraId="0546BE39">
            <w:pPr>
              <w:spacing w:line="500" w:lineRule="exact"/>
              <w:rPr>
                <w:sz w:val="28"/>
              </w:rPr>
            </w:pPr>
          </w:p>
        </w:tc>
        <w:tc>
          <w:tcPr>
            <w:tcW w:w="6860" w:type="dxa"/>
          </w:tcPr>
          <w:p w14:paraId="109C7286">
            <w:pPr>
              <w:spacing w:line="50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4.整体时间掌控良好。</w:t>
            </w:r>
          </w:p>
        </w:tc>
      </w:tr>
    </w:tbl>
    <w:p w14:paraId="550D01CB">
      <w:pPr>
        <w:spacing w:line="500" w:lineRule="exact"/>
        <w:ind w:firstLine="560" w:firstLineChars="200"/>
        <w:rPr>
          <w:sz w:val="28"/>
        </w:rPr>
      </w:pPr>
      <w:r>
        <w:rPr>
          <w:rFonts w:hint="eastAsia"/>
          <w:sz w:val="28"/>
        </w:rPr>
        <w:t>评委不少于</w:t>
      </w:r>
      <w:r>
        <w:rPr>
          <w:rFonts w:hint="eastAsia"/>
          <w:sz w:val="28"/>
          <w:lang w:val="en-US" w:eastAsia="zh-CN"/>
        </w:rPr>
        <w:t>3</w:t>
      </w:r>
      <w:r>
        <w:rPr>
          <w:rFonts w:hint="eastAsia"/>
          <w:sz w:val="28"/>
        </w:rPr>
        <w:t>人。评委打分汇总后取平均分，精确到小数点后两位。若出现相同分数，精确到小数点后三位，以此类推。</w:t>
      </w:r>
    </w:p>
    <w:p w14:paraId="6F4E9180">
      <w:pPr>
        <w:spacing w:line="500" w:lineRule="exact"/>
        <w:rPr>
          <w:rFonts w:hint="default" w:ascii="Times New Roman" w:hAnsi="Times New Roman" w:eastAsia="宋体" w:cs="Times New Roman"/>
          <w:sz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2E2E9D"/>
    <w:multiLevelType w:val="singleLevel"/>
    <w:tmpl w:val="972E2E9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8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61F"/>
    <w:rsid w:val="001B6E1B"/>
    <w:rsid w:val="002A2B80"/>
    <w:rsid w:val="00330534"/>
    <w:rsid w:val="00365C2D"/>
    <w:rsid w:val="003B61BD"/>
    <w:rsid w:val="00423EFE"/>
    <w:rsid w:val="005273F0"/>
    <w:rsid w:val="00541249"/>
    <w:rsid w:val="00566887"/>
    <w:rsid w:val="005901FB"/>
    <w:rsid w:val="005D7BBA"/>
    <w:rsid w:val="006A467A"/>
    <w:rsid w:val="007D62BD"/>
    <w:rsid w:val="008809BE"/>
    <w:rsid w:val="008C07B4"/>
    <w:rsid w:val="0090361F"/>
    <w:rsid w:val="009253BC"/>
    <w:rsid w:val="009B7798"/>
    <w:rsid w:val="00B44BCB"/>
    <w:rsid w:val="00B96E74"/>
    <w:rsid w:val="00C94678"/>
    <w:rsid w:val="00D84972"/>
    <w:rsid w:val="00DC2056"/>
    <w:rsid w:val="00DE5237"/>
    <w:rsid w:val="00E81846"/>
    <w:rsid w:val="06C82491"/>
    <w:rsid w:val="2011218E"/>
    <w:rsid w:val="2D434994"/>
    <w:rsid w:val="532C016F"/>
    <w:rsid w:val="5D924B23"/>
    <w:rsid w:val="6228141A"/>
    <w:rsid w:val="7424370B"/>
    <w:rsid w:val="7BF6F211"/>
    <w:rsid w:val="7DFD8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702</Words>
  <Characters>731</Characters>
  <Lines>4</Lines>
  <Paragraphs>1</Paragraphs>
  <TotalTime>0</TotalTime>
  <ScaleCrop>false</ScaleCrop>
  <LinksUpToDate>false</LinksUpToDate>
  <CharactersWithSpaces>737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2023-05-10T14:31:00Z</dcterms:created>
  <dc:creator>Administrator</dc:creator>
  <cp:lastModifiedBy>辰君</cp:lastModifiedBy>
  <dcterms:modified xsi:type="dcterms:W3CDTF">2026-05-27T03:46:38Z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eyJoZGlkIjoiOGI4NmEyMWVjOTI1MWE4M2M0YTQxOTg2MWQwY2RlZjgiLCJ1c2VySWQiOiI1NDk2ODgxNzkifQ==</vt:lpwstr>
  </property>
  <property fmtid="{D5CDD505-2E9C-101B-9397-08002B2CF9AE}" pid="3" name="KSOProductBuildVer">
    <vt:lpwstr>2052-12.1.0.23542</vt:lpwstr>
  </property>
  <property fmtid="{D5CDD505-2E9C-101B-9397-08002B2CF9AE}" pid="4" name="ICV">
    <vt:lpwstr>35130783F6A94CE491C957DE48342A36_13</vt:lpwstr>
  </property>
</Properties>
</file>